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НОВЫЙ ЗАКОН О ВАКЦИНАЦИИ № 157 ФЗ ОТ 17.09.1998 (РЕДАКТИРОВАН ОТ 31.12.2014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</w:pPr>
    </w:p>
    <w:p w:rsidR="00D36C51" w:rsidRP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ПОЛЕЗНО ЗНАТЬ ЭТОТ ЗАКОН ВСЕМ РОДИТЕЛЯМ !!!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мама должна знать, что согласившись на прививку, она имеет право ознакомиться 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 xml:space="preserve">с сертификатом и инструкцией к вакцине, </w:t>
      </w: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 будут прививать ее ребенка. Получив уверения в безопасности вакцины, 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она имеет право попросить у заведующей детским отделением поликлиники гарантийное письмо </w:t>
      </w: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том, что ее ребенка не постигнет ни одно поствакцинальное осложнение в течение следующих 10 лет, т.е. в течение срока действия вакцины.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Российской Федерации от 17 сентября 1998 г. N 157-ФЗ г. Москва «Об иммунопрофил</w:t>
      </w:r>
      <w:r w:rsid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актике инфекционных болезней» </w:t>
      </w:r>
    </w:p>
    <w:p w:rsid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Дополнительно: Изменения и поправки Принят Государственной Думой 17 июля 1998 года Одобрен Советом Федерации 4 сентября 1998 года</w:t>
      </w:r>
    </w:p>
    <w:p w:rsidR="005C64D9" w:rsidRDefault="005C64D9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D36C51" w:rsidRPr="00B16E00" w:rsidRDefault="00D36C51" w:rsidP="005C6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16E00" w:rsidRPr="00B16E00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         ГЛАВА I. ОБЩИЕ ПОЛОЖЕНИЯ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C51" w:rsidRPr="00B16E00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Статья 1. Основные понятия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D36C51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иммунопрофилактика инфекционных болезней (далее — иммунопрофилактика) —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D36C51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профилактические прививки — введение в организм человека медицинских иммунобиологических препаратов для создания специфической невосприимчивости к инфекционным болезням;</w:t>
      </w:r>
    </w:p>
    <w:p w:rsidR="00D36C51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медицинские иммунобиологические препараты —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D36C51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национальный календарь профилактических прививок — нормативный правовой акт, устанавливающий сроки и порядок проведения гражданам профилактических прививок;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поствакцинальные осложнения, вызванные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 (далее — поствакцинальные осложнения), — тяжелые и (или) стойкие нарушения состояния здоровья вследствие профилактических прививок;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сертификат профилактических прививок — документ, в котором регистрируются профилактические прививки гражданина.</w:t>
      </w:r>
    </w:p>
    <w:p w:rsidR="00D36C51" w:rsidRPr="00A6054C" w:rsidRDefault="00D36C51" w:rsidP="005C64D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2. Законодательство Российской Федерации в области иммунопрофилактики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5C64D9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5C64D9" w:rsidRDefault="005C64D9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3. Сфера действия настоящего Федерального закона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Действие настоящего Федерального закона распространяется на граждан и юридических лиц.</w:t>
      </w:r>
    </w:p>
    <w:p w:rsid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ым законом.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054C" w:rsidRDefault="00B16E00" w:rsidP="005C6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ГЛАВА II. ГОСУДАРСТВЕННАЯ ПОЛИТИКА В ОБЛАСТИ ИММУНОПРОФИЛАКТИКИ. ПРАВА И ОБЯЗАННОСТИ ГРАЖДАН ПРИ ОС</w:t>
      </w:r>
      <w:r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УЩЕСТВЛЕНИИ ИММУНОПРОФИЛАКТИКИ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4. Государственная политика в области иммунопрофилактики</w:t>
      </w:r>
    </w:p>
    <w:p w:rsidR="00A6054C" w:rsidRDefault="00A6054C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Государственная политика в области иммунопрофилактики направлена на предупреждение, ограничение распространения и лик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видацию инфекционных болезней.</w:t>
      </w:r>
    </w:p>
    <w:p w:rsidR="00A6054C" w:rsidRDefault="00A6054C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В области иммунопрофилактики государство гарантирует:</w:t>
      </w:r>
    </w:p>
    <w:p w:rsidR="00A6054C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доступность для граж</w:t>
      </w:r>
      <w:r w:rsidR="00A6054C"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дан профилактических прививок;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бесплатное 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 в организациях государственной и муниципальной систем здравоохранения;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социальную поддержку граждан при возникновении поствакцина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льных осложнений;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разработку и реализацию федеральных целевых про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грамм и региональных программ;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использование для осуществления иммунопрофилактики эффективных медицинских иммунобиологических препаратов;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государственный контроль качества, эффективности и безопасности медицинских иммунобиологических препаратов;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поддержку научных исследований в области разработки новых медицинских иммунобиологических препаратов;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обеспечение современного уровня производства медицинских иммунобиологических препаратов;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государственную поддержку отечественных производителей медицинских иммунобиологических препаратов;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включение в федеральные государственные образовательные стандарты подготовки медицинских работнико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вопросов иммунопрофилактики;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совершенствование системы статистического наблюдения;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обеспечение единой государственной информационной политики;</w:t>
      </w:r>
    </w:p>
    <w:p w:rsidR="00D36C51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международного сотрудничества.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</w:t>
      </w:r>
      <w:r w:rsid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.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lastRenderedPageBreak/>
        <w:t>Статья 5. Права и обязанности граждан при осуществлении иммунопрофилактики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Граждане при осуществлении иммунопрофилактики имеют право на: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выбор государственных, муниципальных или частных организаций здравоохранения либо граждан, занимающихся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частной медицинской практикой;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помощи;</w:t>
      </w:r>
    </w:p>
    <w:p w:rsidR="00A6054C" w:rsidRPr="00A6054C" w:rsidRDefault="00D36C51" w:rsidP="005C64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социальную поддержку при возникновени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поствакцинальных осложнений;</w:t>
      </w:r>
    </w:p>
    <w:p w:rsidR="00A6054C" w:rsidRPr="00A6054C" w:rsidRDefault="00A6054C" w:rsidP="005C64D9">
      <w:pPr>
        <w:shd w:val="clear" w:color="auto" w:fill="FFFFFF"/>
        <w:spacing w:after="0" w:line="240" w:lineRule="auto"/>
        <w:ind w:left="207" w:firstLine="502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F60A3A" w:rsidRPr="00A6054C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2. Отсутствие профилактических прививок влечет:</w:t>
      </w:r>
    </w:p>
    <w:p w:rsidR="00F60A3A" w:rsidRPr="00A6054C" w:rsidRDefault="00F60A3A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A6054C" w:rsidRDefault="00D36C51" w:rsidP="005C64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D36C51" w:rsidRPr="00A6054C" w:rsidRDefault="00D36C51" w:rsidP="005C64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A6054C" w:rsidRDefault="00D36C51" w:rsidP="005C64D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вания инфекционными болезнями.</w:t>
      </w:r>
    </w:p>
    <w:p w:rsidR="00D36C51" w:rsidRPr="00A6054C" w:rsidRDefault="00D36C51" w:rsidP="005C64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3. При осуществлении иммунопрофилактики граждане обязаны:</w:t>
      </w:r>
    </w:p>
    <w:p w:rsidR="00A6054C" w:rsidRDefault="00D36C51" w:rsidP="005C64D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предписания медицинских работников;</w:t>
      </w:r>
    </w:p>
    <w:p w:rsidR="00D36C51" w:rsidRPr="00A6054C" w:rsidRDefault="00D36C51" w:rsidP="005C64D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письменной форме подтверждать отказ от профилактических прививок.</w:t>
      </w:r>
      <w:r w:rsidRPr="00A60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A6054C"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ГЛАВА III. ФИНАНСОВОЕ ОБЕСПЕЧЕНИЕ ИММУНОПРОФИЛАКТИКИ</w:t>
      </w:r>
    </w:p>
    <w:p w:rsidR="00A6054C" w:rsidRDefault="00A6054C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6. Финансовое обеспечение иммунопрофилактики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</w:t>
      </w:r>
      <w:r w:rsid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тельством Российской Федерации.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 Органы местного самоуправления, уполномоченные на осуществление управления в сфере здравоохранения, осуществляют организацию проведения профилактических прививок, включенных в Национальный календарь профилактических 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прививок, в соответствии с объемом поставленных учреждениям муниципальной системы здравоохранения медицинских иммунобиологических препаратов.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7. Утратила силу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B16E00" w:rsidRDefault="00B16E00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ГЛАВА IV. ОРГАНИЗАЦИОННЫЕ ОСНОВЫ ДЕЯТЕЛЬНОСТИ В ОБЛАСТИ ИММУНОПРОФИЛАКТИКИ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br/>
      </w:r>
      <w:r w:rsidR="00D36C51"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br/>
        <w:t>Статья 8. Организационные основы деятельности в области иммунопрофилактики</w:t>
      </w:r>
    </w:p>
    <w:p w:rsidR="00B16E00" w:rsidRDefault="00B16E00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Осуществление иммунопрофилактики обеспечивают федеральный орган исполнительной власти в области здравоохранения, федеральный орган исполнительной власти, уполномоченный осуществлять санитарно-эпидемиологический надзор, органы управления здравоохранением субъектов Российской Федерации.</w:t>
      </w:r>
    </w:p>
    <w:p w:rsidR="005C64D9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обеспечивают военно-медицинские учреждения.</w:t>
      </w:r>
    </w:p>
    <w:p w:rsidR="005C64D9" w:rsidRDefault="005C64D9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9. Национальный календарь профилактических прививок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 и гриппа.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 в сфере здравоохранения.</w:t>
      </w:r>
    </w:p>
    <w:p w:rsidR="00B16E00" w:rsidRDefault="00B16E00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10. Профилактические прививки по эпидемическим показаниям</w:t>
      </w:r>
    </w:p>
    <w:p w:rsidR="00B16E00" w:rsidRDefault="00B16E00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сти в области здравоохранения.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Сроки и порядок проведения профилактических прививок по эпидемическим показаниям устанавливает федеральный орган исполнительной власти в области здравоохранения.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</w:p>
    <w:p w:rsidR="00B16E00" w:rsidRDefault="00D36C51" w:rsidP="005C6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11. Требования к проведению профилактических прививок</w:t>
      </w:r>
    </w:p>
    <w:p w:rsidR="00B16E00" w:rsidRDefault="00B16E00" w:rsidP="005C6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Профилактические прививки проводятся гражданам в государственных, муниципальных или частных организациях здравоохранения либо гражданами, занимающимися частной медицинской практикой, при наличии лицензий на медицинскую деятельность.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Профилактические прививки проводятся с согласия граждан,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</w:p>
    <w:p w:rsidR="00D36C51" w:rsidRP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3. Профилактические прививки проводятся гражданам, не имеющим медицинских противопоказаний.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медицинских противопоказаний к проведению профилактических прививок утверждается федеральным органом исполнительной власти в области здравоохранения.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 в области 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здравоохранения.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12. Требования к медицинским иммунобиологическим препаратам</w:t>
      </w:r>
    </w:p>
    <w:p w:rsidR="00B16E00" w:rsidRDefault="00B16E00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Для иммунопрофилактики используются зарегистрированные в соответствии с законодательством Российской Федерации отечественные и зарубежные медицинские 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иммунобиологические препараты.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Медицинские иммунобиологические препараты, используемые для иммунопрофилактики,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Отпуск гражданам медицинских иммунобиологических препаратов, используемых для иммунопрофилактики, производится по рецептам врачей аптечными организациями и организациями здравоохранения в порядке, установленном федеральным органом исполнительной власти в области здравоохранения.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13. Хранение и транспортировка медицинских иммунобиологических препаратов</w:t>
      </w:r>
    </w:p>
    <w:p w:rsidR="00B16E00" w:rsidRDefault="00B16E00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Хранение и транспортировка медицинских иммунобиологических препаратов осуществляются в соответствии с т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ребованиями санитарных правил.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Контроль за хранением и транспортировкой медицинских иммунобиологических препаратов обеспечивают органы, осуществляющие федеральный государственный санитарно-эпидемиологический надзор.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14. Государственный надзор в области иммунопрофилактики инфекционных болезней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ческом благополучии населения.</w:t>
      </w:r>
    </w:p>
    <w:p w:rsid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порядке, установленном Правительством Российской Федерации.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15. Обеспечение медицинскими иммунобиологическими препаратами</w:t>
      </w:r>
    </w:p>
    <w:p w:rsidR="00B16E00" w:rsidRDefault="00B16E00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B16E00" w:rsidRDefault="00D36C51" w:rsidP="005C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прививок, включенных в национальный календарь профилактических прививок, и профилактических прививок по эпидемическим показаниям осуществляют федеральный 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орган исполнительной власти в области здравоохранения и органы управления здравоохранением субъектов Российской Федерации.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16. Исключена. 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2984C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17. Государственное статистическое наблюдение в области иммунопрофилактики</w:t>
      </w:r>
      <w:r w:rsidRPr="00A60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2984C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Сведения о профилактических прививках, поствакцинальных осложнениях, случаях отказа от профилактических прививок подлежат государст</w:t>
      </w:r>
      <w:r w:rsid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венному статистическому учету.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</w:t>
      </w:r>
      <w:r w:rsid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тах профилактических прививок.</w:t>
      </w:r>
    </w:p>
    <w:p w:rsidR="00D36C51" w:rsidRP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федеральным органом исполнительной власти в области здравоохранения.</w:t>
      </w:r>
      <w:r w:rsidRPr="00B1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6C51" w:rsidRPr="00A6054C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ГЛАВА V. СОЦИАЛЬНАЯ ПОДДЕРЖКА ГРАЖДАН ПРИ ВОЗНИКНОВЕНИИ ПОСТВАКЦИНАЛЬНЫХ ОСЛОЖНЕНИЙ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18. Право граждан на социальную поддержку при возникновении поствакцинальных осложнений</w:t>
      </w:r>
      <w:r w:rsidRPr="00A60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</w:t>
      </w:r>
      <w:r w:rsid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временной нетрудоспособности.</w:t>
      </w:r>
    </w:p>
    <w:p w:rsidR="00D36C51" w:rsidRP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компенсаций, образованного в федеральном бюджете, в виде субвенций.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статьями 19 и 20 н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астоящего Федерального закона.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Субвенции зачисляются в установленном для исполнения федерального бюджета порядке на счета бюджетов с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убъектов Российской Федерации.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ельством Российской Федерации.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ельством Российской Федерации.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 и социального развития, Счетной палатой Российской Федерац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ии.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указанных в настоящем пункте.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19. Государственные единовременные пособия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При возникновении поствакцинального осложнения гражданин имеет право на получение государственного единовременного пособия в размере 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10 000 рублей.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поствакцинальных осложнений, дающих 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2. В случае смерти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гражданина, наступившей вследствие поствакцинального осложнения, право на получение государственного единовременного пособия в размере 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30 000 рублей имеют члены его семьи.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20. Ежемесячные денежные компенсации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Гражданин, признанный инвалидом вследствие поствакцинального осложнения, имеет право на получение 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ежемесячной 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денежной компенсации в размере 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1 000 рублей.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Статья 21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Пособие по временной нетрудоспособности в случае ухода за больным ребенком в возрасте до 15 лет при его болезни, </w:t>
      </w: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связанной с поствакцинальным осложнением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15 лет при его болезни, связанной с поствакцинальным осложнением, за весь период амбулаторного лечения или совместного пребывания с ребенком в стационарном лечебно-профилактическом учреждении в размере, уста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новленном федеральным законом.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B16E00" w:rsidP="005C6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ГЛАВА VI. ЗАКЛЮЧИТЕЛЬНЫЕ ПОЛОЖЕНИЯ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22. Ответственность за нарушение настоящего Федерального закона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Статья 23. Вступление в силу настоящего Федерального закона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1. Настоящий Федеральный закон вступает в силу со дня его </w:t>
      </w:r>
      <w:r w:rsidR="00B1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официального опубликования.</w:t>
      </w:r>
    </w:p>
    <w:p w:rsidR="00B16E00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Default="00B16E00" w:rsidP="005C6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6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ВАКЦИНАЦИЯ</w:t>
      </w:r>
    </w:p>
    <w:p w:rsidR="00B16E00" w:rsidRPr="00B16E00" w:rsidRDefault="00B16E00" w:rsidP="005C6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4D9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Вакцинация — применение вакцин в целях предупреждения или лечения инфекционных болезней. Одни вакцины создают пожизненный иммунитет, другие лишь на ограниченный период времени.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вакцин: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Живые вакцины — Содержащие ослабленный живой микроорганизм.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Инактивированные вакцины — Содержащие убитый микроорганизм.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Химические вакцины — Содержащие компоненты клеточной стенки или других частей возбудителя.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Анатоксины — Вакцины, содержащие инактивированный токсин продуцируемый бактериями. В результате такой обработки токсические свойства утрачиваются, но остаются </w:t>
      </w:r>
      <w:proofErr w:type="spellStart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иммуногенные</w:t>
      </w:r>
      <w:proofErr w:type="spellEnd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Рекомбинантные вакцины — полученные методами генной инженерии.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Синтетические вакцины — представляют собой искусственно созданные антигенные детерминанты микроорганизмов.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Также бывают моновакцины (против одной </w:t>
      </w:r>
      <w:proofErr w:type="gramStart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инфекции )и</w:t>
      </w:r>
      <w:proofErr w:type="gramEnd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поливакцины (против нескольких инфекций).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B16E00" w:rsidP="005C6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ПРОТИВОПОКАЗАНИЯ ДЛЯ ВАКЦИНАЦИИ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Противопоказания для вакцинации бывают постоянные или временные.</w:t>
      </w: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Постоянные противопоказания: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Сильная реакция или осложнение на предыдущую дозу.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Первичные </w:t>
      </w:r>
      <w:proofErr w:type="spellStart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иммунодефицитные</w:t>
      </w:r>
      <w:proofErr w:type="spellEnd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состояния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Временные (или относительные) противопоказания: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Острые или хронические заболевания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Введение иммуноглобулинов, компонентов крови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Иммуносупрессивная</w:t>
      </w:r>
      <w:proofErr w:type="spellEnd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терапия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Злокачественные новообразования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Беременность.</w:t>
      </w:r>
    </w:p>
    <w:p w:rsidR="00B16E00" w:rsidRDefault="00B16E00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Более подробно информацию по постоянным и временным противопоказаниям, Вы можете прочитать, нажав на «описание вакцины» под интересующим Вас препаратом. Также следует отметить что перед каждой вакцинацией необходим </w:t>
      </w:r>
      <w:proofErr w:type="spellStart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предвакцинальный</w:t>
      </w:r>
      <w:proofErr w:type="spellEnd"/>
      <w:r w:rsidRPr="00A605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осмотр специалиста. Если Вам необходимо составить индивидуальный график профилактических прививок Вашему ребенку, то тогда необходимо записаться на прием к педиатру. На приеме врач изучит историю развития ребенка, определит показания и противопоказания к вакцинации и составит индивидуальный график прививок.</w:t>
      </w:r>
    </w:p>
    <w:p w:rsidR="00D36C51" w:rsidRPr="00A6054C" w:rsidRDefault="00D36C51" w:rsidP="005C6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lastRenderedPageBreak/>
        <w:drawing>
          <wp:inline distT="0" distB="0" distL="0" distR="0" wp14:anchorId="0F8B55E1" wp14:editId="6F6A5A26">
            <wp:extent cx="5524500" cy="4143375"/>
            <wp:effectExtent l="0" t="0" r="0" b="9525"/>
            <wp:docPr id="2" name="Рисунок 2" descr="НОВЫЙ ЗАКОН О ВАКЦИНАЦИИ № 157 ФЗ ОТ 17.09.1998 (РЕДАКТИРОВАН ОТ 31.12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ЗАКОН О ВАКЦИНАЦИИ № 157 ФЗ ОТ 17.09.1998 (РЕДАКТИРОВАН ОТ 31.12.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57" cy="41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BD" w:rsidRPr="00A6054C" w:rsidRDefault="005C64D9" w:rsidP="005C6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F74BD" w:rsidRPr="00A6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1050"/>
    <w:multiLevelType w:val="hybridMultilevel"/>
    <w:tmpl w:val="21CC0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386A97"/>
    <w:multiLevelType w:val="hybridMultilevel"/>
    <w:tmpl w:val="41328CA8"/>
    <w:lvl w:ilvl="0" w:tplc="6288986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100BD3"/>
    <w:multiLevelType w:val="hybridMultilevel"/>
    <w:tmpl w:val="AC7E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B9083E"/>
    <w:multiLevelType w:val="hybridMultilevel"/>
    <w:tmpl w:val="34368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51"/>
    <w:rsid w:val="00140958"/>
    <w:rsid w:val="00291730"/>
    <w:rsid w:val="005C64D9"/>
    <w:rsid w:val="00A6054C"/>
    <w:rsid w:val="00B16E00"/>
    <w:rsid w:val="00D36C51"/>
    <w:rsid w:val="00F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A9DAE-A3F2-48DB-8998-AE33091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2017-07-13T03:20:00Z</dcterms:created>
  <dcterms:modified xsi:type="dcterms:W3CDTF">2017-07-13T03:34:00Z</dcterms:modified>
</cp:coreProperties>
</file>